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B0" w:rsidRPr="0064026C" w:rsidRDefault="008A3A01" w:rsidP="0064026C">
      <w:pPr>
        <w:pStyle w:val="Standard"/>
        <w:ind w:left="-284"/>
        <w:jc w:val="center"/>
        <w:rPr>
          <w:b/>
          <w:bCs/>
          <w:sz w:val="28"/>
          <w:szCs w:val="28"/>
        </w:rPr>
      </w:pPr>
      <w:r w:rsidRPr="0064026C">
        <w:rPr>
          <w:b/>
          <w:bCs/>
          <w:sz w:val="28"/>
          <w:szCs w:val="28"/>
        </w:rPr>
        <w:t>«</w:t>
      </w:r>
      <w:r w:rsidR="0079184E" w:rsidRPr="0064026C">
        <w:rPr>
          <w:b/>
          <w:bCs/>
          <w:sz w:val="28"/>
          <w:szCs w:val="28"/>
        </w:rPr>
        <w:t>Профилактика безнадзорности и правонарушений несовершеннолетних</w:t>
      </w:r>
      <w:r w:rsidRPr="0064026C">
        <w:rPr>
          <w:b/>
          <w:bCs/>
          <w:sz w:val="28"/>
          <w:szCs w:val="28"/>
        </w:rPr>
        <w:t>»</w:t>
      </w:r>
    </w:p>
    <w:p w:rsidR="008A3A01" w:rsidRPr="0064026C" w:rsidRDefault="008A3A01" w:rsidP="0064026C">
      <w:pPr>
        <w:pStyle w:val="Standard"/>
        <w:ind w:left="-284"/>
        <w:jc w:val="both"/>
        <w:rPr>
          <w:sz w:val="28"/>
          <w:szCs w:val="28"/>
        </w:rPr>
      </w:pP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Одним из основных направлений борьбы с преступностью выступает профилактика безнадзорности и правонарушений несовершеннолетних.</w:t>
      </w: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Деятельность государственных органов и учреждений по противодействию преступности несовершеннолетних получила правовое закрепление в Федеральном законе «Об основах системы профилактики безнадзорности и правонарушений несовершеннолетних» (далее – Закон).</w:t>
      </w: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В ст. 4 Закона закреплены субъекты, на которых возлагается проведение профилактических мероприятий в рассматриваемой сфере: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РФ, осуществляющие государственное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системы.</w:t>
      </w: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Каждому из указанных выше органов и учреждений определена своя роль в деятельности по профилактике безнадзорности и правонарушений несовершеннолетних, так как лишь скоординированная совместная деятельность может привести к положительному результату в виде снижения числа противоправных деяний, совершенных несовершеннолетними, а также количества детей, оставшихся без надлежащего присмотра родителей.</w:t>
      </w:r>
    </w:p>
    <w:p w:rsidR="00CF14B0" w:rsidRPr="0064026C" w:rsidRDefault="0079184E" w:rsidP="0064026C">
      <w:pPr>
        <w:pStyle w:val="Standard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sz w:val="28"/>
          <w:szCs w:val="28"/>
        </w:rPr>
        <w:t>Так, согласно ст. 11 Закона комиссии по делам несовершеннолетних и защите их прав создаются высшими исполнительными органами государственной власти субъектов РФ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CF14B0" w:rsidRPr="0064026C" w:rsidRDefault="0079184E" w:rsidP="0064026C">
      <w:pPr>
        <w:pStyle w:val="a4"/>
        <w:spacing w:before="0" w:after="0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color w:val="000000"/>
          <w:sz w:val="28"/>
          <w:szCs w:val="28"/>
        </w:rPr>
        <w:lastRenderedPageBreak/>
        <w:t>Учитывая современные условия формирования федеративных отношений, все полномочия, связанные с осуществлением социальной защиты безнадзорных и бе</w:t>
      </w:r>
      <w:r w:rsidRPr="0064026C">
        <w:rPr>
          <w:color w:val="000000"/>
          <w:sz w:val="28"/>
          <w:szCs w:val="28"/>
        </w:rPr>
        <w:t>с</w:t>
      </w:r>
      <w:r w:rsidRPr="0064026C">
        <w:rPr>
          <w:color w:val="000000"/>
          <w:sz w:val="28"/>
          <w:szCs w:val="28"/>
        </w:rPr>
        <w:t>призорных детей, распределены между органами государственной власти и управления. Так, на федеральном уровне хозяйствования осуществляется опред</w:t>
      </w:r>
      <w:r w:rsidRPr="0064026C">
        <w:rPr>
          <w:color w:val="000000"/>
          <w:sz w:val="28"/>
          <w:szCs w:val="28"/>
        </w:rPr>
        <w:t>е</w:t>
      </w:r>
      <w:r w:rsidRPr="0064026C">
        <w:rPr>
          <w:color w:val="000000"/>
          <w:sz w:val="28"/>
          <w:szCs w:val="28"/>
        </w:rPr>
        <w:t>ление пр</w:t>
      </w:r>
      <w:r w:rsidRPr="0064026C">
        <w:rPr>
          <w:color w:val="000000"/>
          <w:sz w:val="28"/>
          <w:szCs w:val="28"/>
        </w:rPr>
        <w:t>и</w:t>
      </w:r>
      <w:r w:rsidRPr="0064026C">
        <w:rPr>
          <w:color w:val="000000"/>
          <w:sz w:val="28"/>
          <w:szCs w:val="28"/>
        </w:rPr>
        <w:t>оритетных направлений социальной политики, разрабатывается система мер, обеспечивающих решение важнейших проблем. На уровне субъекта Росси</w:t>
      </w:r>
      <w:r w:rsidRPr="0064026C">
        <w:rPr>
          <w:color w:val="000000"/>
          <w:sz w:val="28"/>
          <w:szCs w:val="28"/>
        </w:rPr>
        <w:t>й</w:t>
      </w:r>
      <w:r w:rsidRPr="0064026C">
        <w:rPr>
          <w:color w:val="000000"/>
          <w:sz w:val="28"/>
          <w:szCs w:val="28"/>
        </w:rPr>
        <w:t>ской Федерации организуется управление и функционирование системы социал</w:t>
      </w:r>
      <w:r w:rsidRPr="0064026C">
        <w:rPr>
          <w:color w:val="000000"/>
          <w:sz w:val="28"/>
          <w:szCs w:val="28"/>
        </w:rPr>
        <w:t>ь</w:t>
      </w:r>
      <w:r w:rsidRPr="0064026C">
        <w:rPr>
          <w:color w:val="000000"/>
          <w:sz w:val="28"/>
          <w:szCs w:val="28"/>
        </w:rPr>
        <w:t>ной защиты населения, включающей меры профилактики безнадзорности и бе</w:t>
      </w:r>
      <w:r w:rsidRPr="0064026C">
        <w:rPr>
          <w:color w:val="000000"/>
          <w:sz w:val="28"/>
          <w:szCs w:val="28"/>
        </w:rPr>
        <w:t>с</w:t>
      </w:r>
      <w:r w:rsidRPr="0064026C">
        <w:rPr>
          <w:color w:val="000000"/>
          <w:sz w:val="28"/>
          <w:szCs w:val="28"/>
        </w:rPr>
        <w:t>призорности среди несовершеннолетних. На муниципальном уровне осуществл</w:t>
      </w:r>
      <w:r w:rsidRPr="0064026C">
        <w:rPr>
          <w:color w:val="000000"/>
          <w:sz w:val="28"/>
          <w:szCs w:val="28"/>
        </w:rPr>
        <w:t>я</w:t>
      </w:r>
      <w:r w:rsidRPr="0064026C">
        <w:rPr>
          <w:color w:val="000000"/>
          <w:sz w:val="28"/>
          <w:szCs w:val="28"/>
        </w:rPr>
        <w:t>ется непосредственно п</w:t>
      </w:r>
      <w:r w:rsidRPr="0064026C">
        <w:rPr>
          <w:color w:val="000000"/>
          <w:sz w:val="28"/>
          <w:szCs w:val="28"/>
        </w:rPr>
        <w:t>о</w:t>
      </w:r>
      <w:r w:rsidRPr="0064026C">
        <w:rPr>
          <w:color w:val="000000"/>
          <w:sz w:val="28"/>
          <w:szCs w:val="28"/>
        </w:rPr>
        <w:t>мощь и поддержка семьи и детей. Для этого создается сеть социальных учреждений, ориентированных на работу с семьей и детьми, а также детьми, оказавшимися в трудной жизненной ситуации, организуется хозя</w:t>
      </w:r>
      <w:r w:rsidRPr="0064026C">
        <w:rPr>
          <w:color w:val="000000"/>
          <w:sz w:val="28"/>
          <w:szCs w:val="28"/>
        </w:rPr>
        <w:t>й</w:t>
      </w:r>
      <w:r w:rsidRPr="0064026C">
        <w:rPr>
          <w:color w:val="000000"/>
          <w:sz w:val="28"/>
          <w:szCs w:val="28"/>
        </w:rPr>
        <w:t>ственное обеспечение деятельности таких учреждений и другие мероприятия. Выделение семьи в уровень домохозяйства обосновывается автором ее исключ</w:t>
      </w:r>
      <w:r w:rsidRPr="0064026C">
        <w:rPr>
          <w:color w:val="000000"/>
          <w:sz w:val="28"/>
          <w:szCs w:val="28"/>
        </w:rPr>
        <w:t>и</w:t>
      </w:r>
      <w:r w:rsidRPr="0064026C">
        <w:rPr>
          <w:color w:val="000000"/>
          <w:sz w:val="28"/>
          <w:szCs w:val="28"/>
        </w:rPr>
        <w:t>тельной ролью в жизни ребенка. Несовершенн</w:t>
      </w:r>
      <w:r w:rsidRPr="0064026C">
        <w:rPr>
          <w:color w:val="000000"/>
          <w:sz w:val="28"/>
          <w:szCs w:val="28"/>
        </w:rPr>
        <w:t>о</w:t>
      </w:r>
      <w:r w:rsidRPr="0064026C">
        <w:rPr>
          <w:color w:val="000000"/>
          <w:sz w:val="28"/>
          <w:szCs w:val="28"/>
        </w:rPr>
        <w:t>летний может развиваться только в здоровой социальной среде, и только в совоку</w:t>
      </w:r>
      <w:r w:rsidRPr="0064026C">
        <w:rPr>
          <w:color w:val="000000"/>
          <w:sz w:val="28"/>
          <w:szCs w:val="28"/>
        </w:rPr>
        <w:t>п</w:t>
      </w:r>
      <w:r w:rsidRPr="0064026C">
        <w:rPr>
          <w:color w:val="000000"/>
          <w:sz w:val="28"/>
          <w:szCs w:val="28"/>
        </w:rPr>
        <w:t>ности со всеми ее членами, а для большинства детей этой средой является именно семья. Наконец, автором выдел</w:t>
      </w:r>
      <w:r w:rsidRPr="0064026C">
        <w:rPr>
          <w:color w:val="000000"/>
          <w:sz w:val="28"/>
          <w:szCs w:val="28"/>
        </w:rPr>
        <w:t>я</w:t>
      </w:r>
      <w:r w:rsidRPr="0064026C">
        <w:rPr>
          <w:color w:val="000000"/>
          <w:sz w:val="28"/>
          <w:szCs w:val="28"/>
        </w:rPr>
        <w:t>ется и уровень несовершеннолетнего, то есть самого ребенка. Соискатель считает, что, одновременно, выступая объектом воздействия обозначенных выше субъе</w:t>
      </w:r>
      <w:r w:rsidRPr="0064026C">
        <w:rPr>
          <w:color w:val="000000"/>
          <w:sz w:val="28"/>
          <w:szCs w:val="28"/>
        </w:rPr>
        <w:t>к</w:t>
      </w:r>
      <w:r w:rsidRPr="0064026C">
        <w:rPr>
          <w:color w:val="000000"/>
          <w:sz w:val="28"/>
          <w:szCs w:val="28"/>
        </w:rPr>
        <w:t>тов, обязательно, чтобы ребенок явился субъектом во</w:t>
      </w:r>
      <w:r w:rsidRPr="0064026C">
        <w:rPr>
          <w:color w:val="000000"/>
          <w:sz w:val="28"/>
          <w:szCs w:val="28"/>
        </w:rPr>
        <w:t>з</w:t>
      </w:r>
      <w:r w:rsidRPr="0064026C">
        <w:rPr>
          <w:color w:val="000000"/>
          <w:sz w:val="28"/>
          <w:szCs w:val="28"/>
        </w:rPr>
        <w:t>действия относительно себя. Такая необходимость объяснима тем, что без понимания и осознания несоверше</w:t>
      </w:r>
      <w:r w:rsidRPr="0064026C">
        <w:rPr>
          <w:color w:val="000000"/>
          <w:sz w:val="28"/>
          <w:szCs w:val="28"/>
        </w:rPr>
        <w:t>н</w:t>
      </w:r>
      <w:r w:rsidRPr="0064026C">
        <w:rPr>
          <w:color w:val="000000"/>
          <w:sz w:val="28"/>
          <w:szCs w:val="28"/>
        </w:rPr>
        <w:t>нолетним полезности происходящих вмешательств и пер</w:t>
      </w:r>
      <w:r w:rsidRPr="0064026C">
        <w:rPr>
          <w:color w:val="000000"/>
          <w:sz w:val="28"/>
          <w:szCs w:val="28"/>
        </w:rPr>
        <w:t>е</w:t>
      </w:r>
      <w:r w:rsidRPr="0064026C">
        <w:rPr>
          <w:color w:val="000000"/>
          <w:sz w:val="28"/>
          <w:szCs w:val="28"/>
        </w:rPr>
        <w:t>мен (дети, оказавшиеся в трудной жизненной ситуации, безнадзорные и беспризорные несовершенноле</w:t>
      </w:r>
      <w:r w:rsidRPr="0064026C">
        <w:rPr>
          <w:color w:val="000000"/>
          <w:sz w:val="28"/>
          <w:szCs w:val="28"/>
        </w:rPr>
        <w:t>т</w:t>
      </w:r>
      <w:r w:rsidRPr="0064026C">
        <w:rPr>
          <w:color w:val="000000"/>
          <w:sz w:val="28"/>
          <w:szCs w:val="28"/>
        </w:rPr>
        <w:t>ние относятся к категории «трудных»), результативность проводимой с ним раб</w:t>
      </w:r>
      <w:r w:rsidRPr="0064026C">
        <w:rPr>
          <w:color w:val="000000"/>
          <w:sz w:val="28"/>
          <w:szCs w:val="28"/>
        </w:rPr>
        <w:t>о</w:t>
      </w:r>
      <w:r w:rsidRPr="0064026C">
        <w:rPr>
          <w:color w:val="000000"/>
          <w:sz w:val="28"/>
          <w:szCs w:val="28"/>
        </w:rPr>
        <w:t>ты будет м</w:t>
      </w:r>
      <w:r w:rsidRPr="0064026C">
        <w:rPr>
          <w:color w:val="000000"/>
          <w:sz w:val="28"/>
          <w:szCs w:val="28"/>
        </w:rPr>
        <w:t>и</w:t>
      </w:r>
      <w:r w:rsidRPr="0064026C">
        <w:rPr>
          <w:color w:val="000000"/>
          <w:sz w:val="28"/>
          <w:szCs w:val="28"/>
        </w:rPr>
        <w:t>нимальна.</w:t>
      </w:r>
    </w:p>
    <w:p w:rsidR="00CF14B0" w:rsidRPr="0064026C" w:rsidRDefault="0079184E" w:rsidP="0064026C">
      <w:pPr>
        <w:pStyle w:val="a4"/>
        <w:spacing w:before="0" w:after="0"/>
        <w:ind w:left="-284" w:firstLine="709"/>
        <w:contextualSpacing/>
        <w:jc w:val="both"/>
        <w:rPr>
          <w:sz w:val="28"/>
          <w:szCs w:val="28"/>
        </w:rPr>
      </w:pPr>
      <w:r w:rsidRPr="0064026C">
        <w:rPr>
          <w:color w:val="000000"/>
          <w:sz w:val="28"/>
          <w:szCs w:val="28"/>
        </w:rPr>
        <w:t>Анализ системы управления социальной защитой безнадзорных и беспр</w:t>
      </w:r>
      <w:r w:rsidRPr="0064026C">
        <w:rPr>
          <w:color w:val="000000"/>
          <w:sz w:val="28"/>
          <w:szCs w:val="28"/>
        </w:rPr>
        <w:t>и</w:t>
      </w:r>
      <w:r w:rsidRPr="0064026C">
        <w:rPr>
          <w:color w:val="000000"/>
          <w:sz w:val="28"/>
          <w:szCs w:val="28"/>
        </w:rPr>
        <w:t>зорных детей, исследование причин возникновения и специфики явлений безна</w:t>
      </w:r>
      <w:r w:rsidRPr="0064026C">
        <w:rPr>
          <w:color w:val="000000"/>
          <w:sz w:val="28"/>
          <w:szCs w:val="28"/>
        </w:rPr>
        <w:t>д</w:t>
      </w:r>
      <w:r w:rsidRPr="0064026C">
        <w:rPr>
          <w:color w:val="000000"/>
          <w:sz w:val="28"/>
          <w:szCs w:val="28"/>
        </w:rPr>
        <w:t>зорн</w:t>
      </w:r>
      <w:r w:rsidRPr="0064026C">
        <w:rPr>
          <w:color w:val="000000"/>
          <w:sz w:val="28"/>
          <w:szCs w:val="28"/>
        </w:rPr>
        <w:t>о</w:t>
      </w:r>
      <w:r w:rsidRPr="0064026C">
        <w:rPr>
          <w:color w:val="000000"/>
          <w:sz w:val="28"/>
          <w:szCs w:val="28"/>
        </w:rPr>
        <w:t>сти и беспризорности детей определяет необходимость совершенствования проф</w:t>
      </w:r>
      <w:r w:rsidRPr="0064026C">
        <w:rPr>
          <w:color w:val="000000"/>
          <w:sz w:val="28"/>
          <w:szCs w:val="28"/>
        </w:rPr>
        <w:t>и</w:t>
      </w:r>
      <w:r w:rsidRPr="0064026C">
        <w:rPr>
          <w:color w:val="000000"/>
          <w:sz w:val="28"/>
          <w:szCs w:val="28"/>
        </w:rPr>
        <w:t>лактических мер в деятельности, направленной на исключение детской безнадзорности и беспризорности. В современных условиях это наиболее актуал</w:t>
      </w:r>
      <w:r w:rsidRPr="0064026C">
        <w:rPr>
          <w:color w:val="000000"/>
          <w:sz w:val="28"/>
          <w:szCs w:val="28"/>
        </w:rPr>
        <w:t>ь</w:t>
      </w:r>
      <w:r w:rsidRPr="0064026C">
        <w:rPr>
          <w:color w:val="000000"/>
          <w:sz w:val="28"/>
          <w:szCs w:val="28"/>
        </w:rPr>
        <w:t>но по отнош</w:t>
      </w:r>
      <w:r w:rsidRPr="0064026C">
        <w:rPr>
          <w:color w:val="000000"/>
          <w:sz w:val="28"/>
          <w:szCs w:val="28"/>
        </w:rPr>
        <w:t>е</w:t>
      </w:r>
      <w:r w:rsidRPr="0064026C">
        <w:rPr>
          <w:color w:val="000000"/>
          <w:sz w:val="28"/>
          <w:szCs w:val="28"/>
        </w:rPr>
        <w:t>нию к межведомственной системе профилактики безнадзорности и правонарушений несовершеннолетних, организованной на уровне субъекта Ро</w:t>
      </w:r>
      <w:r w:rsidRPr="0064026C">
        <w:rPr>
          <w:color w:val="000000"/>
          <w:sz w:val="28"/>
          <w:szCs w:val="28"/>
        </w:rPr>
        <w:t>с</w:t>
      </w:r>
      <w:r w:rsidRPr="0064026C">
        <w:rPr>
          <w:color w:val="000000"/>
          <w:sz w:val="28"/>
          <w:szCs w:val="28"/>
        </w:rPr>
        <w:t>сийской Федерации.</w:t>
      </w:r>
    </w:p>
    <w:p w:rsidR="0064026C" w:rsidRPr="0064026C" w:rsidRDefault="0064026C" w:rsidP="0064026C">
      <w:pPr>
        <w:spacing w:line="240" w:lineRule="exact"/>
        <w:ind w:left="-284"/>
        <w:contextualSpacing/>
        <w:rPr>
          <w:rFonts w:cs="Times New Roman"/>
          <w:sz w:val="28"/>
          <w:szCs w:val="28"/>
        </w:rPr>
      </w:pPr>
    </w:p>
    <w:p w:rsidR="0064026C" w:rsidRPr="0064026C" w:rsidRDefault="0064026C" w:rsidP="0064026C">
      <w:pPr>
        <w:spacing w:line="240" w:lineRule="exact"/>
        <w:ind w:left="-284"/>
        <w:contextualSpacing/>
        <w:rPr>
          <w:rFonts w:cs="Times New Roman"/>
          <w:sz w:val="28"/>
          <w:szCs w:val="28"/>
        </w:rPr>
      </w:pPr>
    </w:p>
    <w:p w:rsidR="0064026C" w:rsidRPr="0064026C" w:rsidRDefault="0064026C" w:rsidP="0064026C">
      <w:pPr>
        <w:spacing w:line="240" w:lineRule="exact"/>
        <w:ind w:left="-284"/>
        <w:contextualSpacing/>
        <w:rPr>
          <w:rFonts w:cs="Times New Roman"/>
          <w:sz w:val="28"/>
          <w:szCs w:val="28"/>
        </w:rPr>
      </w:pPr>
      <w:r w:rsidRPr="0064026C">
        <w:rPr>
          <w:rFonts w:cs="Times New Roman"/>
          <w:sz w:val="28"/>
          <w:szCs w:val="28"/>
        </w:rPr>
        <w:t>Старший помощник прокурора района</w:t>
      </w:r>
    </w:p>
    <w:p w:rsidR="0064026C" w:rsidRPr="0064026C" w:rsidRDefault="0064026C" w:rsidP="0064026C">
      <w:pPr>
        <w:tabs>
          <w:tab w:val="left" w:pos="6578"/>
        </w:tabs>
        <w:spacing w:line="240" w:lineRule="exact"/>
        <w:ind w:left="-284"/>
        <w:contextualSpacing/>
        <w:rPr>
          <w:rFonts w:cs="Times New Roman"/>
          <w:sz w:val="28"/>
          <w:szCs w:val="28"/>
        </w:rPr>
      </w:pPr>
      <w:r w:rsidRPr="0064026C">
        <w:rPr>
          <w:rFonts w:cs="Times New Roman"/>
          <w:sz w:val="28"/>
          <w:szCs w:val="28"/>
        </w:rPr>
        <w:t>юрист 1 класса</w:t>
      </w:r>
    </w:p>
    <w:p w:rsidR="0064026C" w:rsidRPr="0064026C" w:rsidRDefault="0064026C" w:rsidP="0064026C">
      <w:pPr>
        <w:tabs>
          <w:tab w:val="left" w:pos="6578"/>
        </w:tabs>
        <w:spacing w:line="240" w:lineRule="exact"/>
        <w:ind w:left="-284"/>
        <w:contextualSpacing/>
        <w:rPr>
          <w:rFonts w:cs="Times New Roman"/>
          <w:sz w:val="28"/>
          <w:szCs w:val="28"/>
        </w:rPr>
      </w:pPr>
      <w:r w:rsidRPr="0064026C">
        <w:rPr>
          <w:rFonts w:cs="Times New Roman"/>
          <w:sz w:val="28"/>
          <w:szCs w:val="28"/>
        </w:rPr>
        <w:t>Абдуллаева Т.А.</w:t>
      </w:r>
    </w:p>
    <w:p w:rsidR="0064026C" w:rsidRPr="0064026C" w:rsidRDefault="0064026C" w:rsidP="0064026C">
      <w:pPr>
        <w:ind w:left="-284" w:firstLine="710"/>
        <w:contextualSpacing/>
        <w:jc w:val="both"/>
        <w:rPr>
          <w:rFonts w:cs="Times New Roman"/>
          <w:sz w:val="28"/>
          <w:szCs w:val="28"/>
        </w:rPr>
      </w:pPr>
    </w:p>
    <w:p w:rsidR="008A3A01" w:rsidRPr="0064026C" w:rsidRDefault="008A3A01" w:rsidP="0064026C">
      <w:pPr>
        <w:pStyle w:val="Standard"/>
        <w:spacing w:line="240" w:lineRule="exact"/>
        <w:ind w:left="-284"/>
        <w:rPr>
          <w:sz w:val="28"/>
          <w:szCs w:val="28"/>
        </w:rPr>
      </w:pPr>
    </w:p>
    <w:sectPr w:rsidR="008A3A01" w:rsidRPr="0064026C" w:rsidSect="0064026C">
      <w:headerReference w:type="default" r:id="rId6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37" w:rsidRDefault="00843537" w:rsidP="00CF14B0">
      <w:r>
        <w:separator/>
      </w:r>
    </w:p>
  </w:endnote>
  <w:endnote w:type="continuationSeparator" w:id="1">
    <w:p w:rsidR="00843537" w:rsidRDefault="00843537" w:rsidP="00CF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37" w:rsidRDefault="00843537" w:rsidP="00CF14B0">
      <w:r w:rsidRPr="00CF14B0">
        <w:rPr>
          <w:color w:val="000000"/>
        </w:rPr>
        <w:separator/>
      </w:r>
    </w:p>
  </w:footnote>
  <w:footnote w:type="continuationSeparator" w:id="1">
    <w:p w:rsidR="00843537" w:rsidRDefault="00843537" w:rsidP="00CF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559789"/>
      <w:docPartObj>
        <w:docPartGallery w:val="㔄∀ऀ܀"/>
        <w:docPartUnique/>
      </w:docPartObj>
    </w:sdtPr>
    <w:sdtContent>
      <w:p w:rsidR="0064026C" w:rsidRDefault="0064026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026C" w:rsidRDefault="00640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6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B0"/>
    <w:rsid w:val="000305C1"/>
    <w:rsid w:val="000A088E"/>
    <w:rsid w:val="00194DDC"/>
    <w:rsid w:val="004E1F7B"/>
    <w:rsid w:val="0064026C"/>
    <w:rsid w:val="0079184E"/>
    <w:rsid w:val="00843537"/>
    <w:rsid w:val="00847AD9"/>
    <w:rsid w:val="008A3A01"/>
    <w:rsid w:val="008E0F07"/>
    <w:rsid w:val="00CF14B0"/>
    <w:rsid w:val="00F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4B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4B0"/>
    <w:pPr>
      <w:suppressAutoHyphens/>
    </w:pPr>
  </w:style>
  <w:style w:type="paragraph" w:customStyle="1" w:styleId="Heading">
    <w:name w:val="Heading"/>
    <w:basedOn w:val="Standard"/>
    <w:next w:val="Textbody"/>
    <w:rsid w:val="00CF14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14B0"/>
    <w:pPr>
      <w:spacing w:after="120"/>
    </w:pPr>
  </w:style>
  <w:style w:type="paragraph" w:styleId="a3">
    <w:name w:val="List"/>
    <w:basedOn w:val="Textbody"/>
    <w:rsid w:val="00CF14B0"/>
  </w:style>
  <w:style w:type="paragraph" w:customStyle="1" w:styleId="Caption">
    <w:name w:val="Caption"/>
    <w:basedOn w:val="Standard"/>
    <w:rsid w:val="00CF14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14B0"/>
    <w:pPr>
      <w:suppressLineNumbers/>
    </w:pPr>
  </w:style>
  <w:style w:type="paragraph" w:styleId="a4">
    <w:name w:val="Normal (Web)"/>
    <w:basedOn w:val="a"/>
    <w:rsid w:val="00CF14B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640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26C"/>
  </w:style>
  <w:style w:type="paragraph" w:styleId="a7">
    <w:name w:val="footer"/>
    <w:basedOn w:val="a"/>
    <w:link w:val="a8"/>
    <w:uiPriority w:val="99"/>
    <w:semiHidden/>
    <w:unhideWhenUsed/>
    <w:rsid w:val="006402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2017-12-18T14:03:00Z</cp:lastPrinted>
  <dcterms:created xsi:type="dcterms:W3CDTF">2017-12-19T05:25:00Z</dcterms:created>
  <dcterms:modified xsi:type="dcterms:W3CDTF">2017-12-19T15:03:00Z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